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5850"/>
      </w:tblGrid>
      <w:tr w:rsidR="003818DC" w:rsidTr="006B1F66">
        <w:tc>
          <w:tcPr>
            <w:tcW w:w="3438" w:type="dxa"/>
          </w:tcPr>
          <w:p w:rsidR="003818DC" w:rsidRDefault="003818DC" w:rsidP="006B1F66">
            <w:pPr>
              <w:jc w:val="center"/>
              <w:rPr>
                <w:sz w:val="24"/>
              </w:rPr>
            </w:pPr>
            <w:r w:rsidRPr="001A429E">
              <w:rPr>
                <w:sz w:val="24"/>
              </w:rPr>
              <w:t>UBND TỈNH ĐỒNG THÁP</w:t>
            </w:r>
          </w:p>
          <w:p w:rsidR="003818DC" w:rsidRDefault="003818DC" w:rsidP="006B1F66">
            <w:pPr>
              <w:jc w:val="center"/>
              <w:rPr>
                <w:b/>
                <w:sz w:val="24"/>
              </w:rPr>
            </w:pPr>
            <w:r w:rsidRPr="001A429E">
              <w:rPr>
                <w:b/>
                <w:sz w:val="24"/>
              </w:rPr>
              <w:t>SỞ KẾ HOẠCH VÀ ĐẦU TƯ</w:t>
            </w:r>
          </w:p>
          <w:p w:rsidR="003818DC" w:rsidRPr="00F42D22" w:rsidRDefault="003818DC" w:rsidP="006B1F66">
            <w:pPr>
              <w:jc w:val="center"/>
              <w:rPr>
                <w:vertAlign w:val="superscript"/>
              </w:rPr>
            </w:pPr>
            <w:r>
              <w:rPr>
                <w:b/>
                <w:sz w:val="24"/>
                <w:vertAlign w:val="superscript"/>
              </w:rPr>
              <w:t>__________________</w:t>
            </w:r>
          </w:p>
        </w:tc>
        <w:tc>
          <w:tcPr>
            <w:tcW w:w="5850" w:type="dxa"/>
          </w:tcPr>
          <w:p w:rsidR="003818DC" w:rsidRDefault="003818DC" w:rsidP="006B1F66">
            <w:pPr>
              <w:jc w:val="center"/>
              <w:rPr>
                <w:b/>
                <w:sz w:val="24"/>
              </w:rPr>
            </w:pPr>
            <w:r w:rsidRPr="001A429E">
              <w:rPr>
                <w:b/>
                <w:sz w:val="24"/>
              </w:rPr>
              <w:t>CỘNG HÒA XÃ HỘI CHỦ NGHĨA VIỆT NAM</w:t>
            </w:r>
          </w:p>
          <w:p w:rsidR="003818DC" w:rsidRDefault="003818DC" w:rsidP="006B1F66">
            <w:pPr>
              <w:jc w:val="center"/>
              <w:rPr>
                <w:b/>
                <w:sz w:val="24"/>
              </w:rPr>
            </w:pPr>
            <w:proofErr w:type="spellStart"/>
            <w:r w:rsidRPr="001A429E">
              <w:rPr>
                <w:b/>
                <w:sz w:val="24"/>
              </w:rPr>
              <w:t>Độc</w:t>
            </w:r>
            <w:proofErr w:type="spellEnd"/>
            <w:r w:rsidRPr="001A429E">
              <w:rPr>
                <w:b/>
                <w:sz w:val="24"/>
              </w:rPr>
              <w:t xml:space="preserve"> </w:t>
            </w:r>
            <w:proofErr w:type="spellStart"/>
            <w:r w:rsidRPr="001A429E">
              <w:rPr>
                <w:b/>
                <w:sz w:val="24"/>
              </w:rPr>
              <w:t>lập</w:t>
            </w:r>
            <w:proofErr w:type="spellEnd"/>
            <w:r w:rsidRPr="001A429E">
              <w:rPr>
                <w:b/>
                <w:sz w:val="24"/>
              </w:rPr>
              <w:t xml:space="preserve"> – </w:t>
            </w:r>
            <w:proofErr w:type="spellStart"/>
            <w:r w:rsidRPr="001A429E">
              <w:rPr>
                <w:b/>
                <w:sz w:val="24"/>
              </w:rPr>
              <w:t>Tự</w:t>
            </w:r>
            <w:proofErr w:type="spellEnd"/>
            <w:r w:rsidRPr="001A429E">
              <w:rPr>
                <w:b/>
                <w:sz w:val="24"/>
              </w:rPr>
              <w:t xml:space="preserve"> do – </w:t>
            </w:r>
            <w:proofErr w:type="spellStart"/>
            <w:r w:rsidRPr="001A429E">
              <w:rPr>
                <w:b/>
                <w:sz w:val="24"/>
              </w:rPr>
              <w:t>Hạnh</w:t>
            </w:r>
            <w:proofErr w:type="spellEnd"/>
            <w:r w:rsidRPr="001A429E">
              <w:rPr>
                <w:b/>
                <w:sz w:val="24"/>
              </w:rPr>
              <w:t xml:space="preserve"> </w:t>
            </w:r>
            <w:proofErr w:type="spellStart"/>
            <w:r w:rsidRPr="001A429E">
              <w:rPr>
                <w:b/>
                <w:sz w:val="24"/>
              </w:rPr>
              <w:t>phúc</w:t>
            </w:r>
            <w:proofErr w:type="spellEnd"/>
          </w:p>
          <w:p w:rsidR="003818DC" w:rsidRDefault="003818DC" w:rsidP="006B1F66">
            <w:pPr>
              <w:jc w:val="center"/>
            </w:pPr>
            <w:r w:rsidRPr="001A429E">
              <w:rPr>
                <w:sz w:val="24"/>
                <w:vertAlign w:val="superscript"/>
                <w:lang w:val="vi-VN"/>
              </w:rPr>
              <w:t>________________________________</w:t>
            </w:r>
            <w:r>
              <w:rPr>
                <w:sz w:val="24"/>
                <w:vertAlign w:val="superscript"/>
              </w:rPr>
              <w:t>_____</w:t>
            </w:r>
          </w:p>
        </w:tc>
      </w:tr>
      <w:tr w:rsidR="003818DC" w:rsidTr="006B1F66">
        <w:tc>
          <w:tcPr>
            <w:tcW w:w="3438" w:type="dxa"/>
          </w:tcPr>
          <w:p w:rsidR="003818DC" w:rsidRPr="007F3DC5" w:rsidRDefault="003818DC" w:rsidP="006B1F66">
            <w:pPr>
              <w:jc w:val="center"/>
              <w:rPr>
                <w:sz w:val="26"/>
                <w:szCs w:val="28"/>
              </w:rPr>
            </w:pPr>
            <w:r w:rsidRPr="007F3DC5">
              <w:rPr>
                <w:sz w:val="26"/>
                <w:szCs w:val="28"/>
                <w:lang w:val="vi-VN"/>
              </w:rPr>
              <w:t>Số</w:t>
            </w:r>
            <w:r w:rsidR="00C81AB1">
              <w:rPr>
                <w:sz w:val="26"/>
                <w:szCs w:val="28"/>
                <w:lang w:val="vi-VN"/>
              </w:rPr>
              <w:t xml:space="preserve">: </w:t>
            </w:r>
            <w:r w:rsidR="00C81AB1">
              <w:rPr>
                <w:sz w:val="26"/>
                <w:szCs w:val="28"/>
              </w:rPr>
              <w:t>80</w:t>
            </w:r>
            <w:r w:rsidRPr="007F3DC5">
              <w:rPr>
                <w:sz w:val="26"/>
                <w:szCs w:val="28"/>
                <w:lang w:val="vi-VN"/>
              </w:rPr>
              <w:t>/SKHĐT-HTĐT</w:t>
            </w:r>
          </w:p>
          <w:p w:rsidR="003818DC" w:rsidRPr="0055721A" w:rsidRDefault="003818DC" w:rsidP="006B1F66">
            <w:pPr>
              <w:jc w:val="center"/>
              <w:rPr>
                <w:rFonts w:eastAsia="Batang"/>
              </w:rPr>
            </w:pPr>
            <w:r w:rsidRPr="007F3DC5">
              <w:rPr>
                <w:sz w:val="22"/>
                <w:lang w:val="vi-VN"/>
              </w:rPr>
              <w:t>V/v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triển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khai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thực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hiện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Luật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Đầu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năm</w:t>
            </w:r>
            <w:proofErr w:type="spellEnd"/>
            <w:r>
              <w:rPr>
                <w:sz w:val="24"/>
              </w:rPr>
              <w:t xml:space="preserve"> 2021 </w:t>
            </w:r>
            <w:proofErr w:type="spellStart"/>
            <w:r>
              <w:rPr>
                <w:sz w:val="24"/>
              </w:rPr>
              <w:t>theo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hướng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dẫn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của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Bộ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hoạch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và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Đầu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tư</w:t>
            </w:r>
            <w:proofErr w:type="spellEnd"/>
          </w:p>
        </w:tc>
        <w:tc>
          <w:tcPr>
            <w:tcW w:w="5850" w:type="dxa"/>
          </w:tcPr>
          <w:p w:rsidR="003818DC" w:rsidRPr="005D25F2" w:rsidRDefault="003818DC" w:rsidP="00EB7817">
            <w:pPr>
              <w:jc w:val="center"/>
            </w:pPr>
            <w:r w:rsidRPr="005419B2">
              <w:rPr>
                <w:i/>
                <w:iCs/>
                <w:sz w:val="26"/>
                <w:szCs w:val="28"/>
                <w:lang w:val="vi-VN"/>
              </w:rPr>
              <w:t xml:space="preserve">Đồng Tháp, ngày  </w:t>
            </w:r>
            <w:r w:rsidR="00C81AB1">
              <w:rPr>
                <w:i/>
                <w:iCs/>
                <w:sz w:val="26"/>
                <w:szCs w:val="28"/>
              </w:rPr>
              <w:t xml:space="preserve">13 </w:t>
            </w:r>
            <w:r w:rsidR="00C81AB1">
              <w:rPr>
                <w:i/>
                <w:iCs/>
                <w:sz w:val="26"/>
                <w:szCs w:val="28"/>
                <w:lang w:val="vi-VN"/>
              </w:rPr>
              <w:t>tháng</w:t>
            </w:r>
            <w:r w:rsidR="00C81AB1">
              <w:rPr>
                <w:i/>
                <w:iCs/>
                <w:sz w:val="26"/>
                <w:szCs w:val="28"/>
              </w:rPr>
              <w:t xml:space="preserve">  01 </w:t>
            </w:r>
            <w:r w:rsidRPr="005419B2">
              <w:rPr>
                <w:i/>
                <w:iCs/>
                <w:sz w:val="26"/>
                <w:szCs w:val="28"/>
                <w:lang w:val="vi-VN"/>
              </w:rPr>
              <w:t xml:space="preserve"> năm  20</w:t>
            </w:r>
            <w:r>
              <w:rPr>
                <w:i/>
                <w:iCs/>
                <w:sz w:val="26"/>
                <w:szCs w:val="28"/>
              </w:rPr>
              <w:t>21</w:t>
            </w:r>
          </w:p>
        </w:tc>
      </w:tr>
    </w:tbl>
    <w:p w:rsidR="003818DC" w:rsidRDefault="003818DC" w:rsidP="006B1F66"/>
    <w:tbl>
      <w:tblPr>
        <w:tblW w:w="9288" w:type="dxa"/>
        <w:tblLook w:val="04A0"/>
      </w:tblPr>
      <w:tblGrid>
        <w:gridCol w:w="3438"/>
        <w:gridCol w:w="5850"/>
      </w:tblGrid>
      <w:tr w:rsidR="003818DC" w:rsidRPr="00886443" w:rsidTr="006B1F66">
        <w:tc>
          <w:tcPr>
            <w:tcW w:w="3438" w:type="dxa"/>
          </w:tcPr>
          <w:p w:rsidR="003818DC" w:rsidRPr="00886443" w:rsidRDefault="003818DC" w:rsidP="006B1F66">
            <w:pPr>
              <w:jc w:val="right"/>
              <w:rPr>
                <w:szCs w:val="28"/>
              </w:rPr>
            </w:pPr>
            <w:proofErr w:type="spellStart"/>
            <w:r w:rsidRPr="00886443">
              <w:rPr>
                <w:szCs w:val="28"/>
              </w:rPr>
              <w:t>Kính</w:t>
            </w:r>
            <w:proofErr w:type="spellEnd"/>
            <w:r w:rsidRPr="00886443">
              <w:rPr>
                <w:szCs w:val="28"/>
              </w:rPr>
              <w:t xml:space="preserve"> </w:t>
            </w:r>
            <w:proofErr w:type="spellStart"/>
            <w:r w:rsidRPr="00886443">
              <w:rPr>
                <w:szCs w:val="28"/>
              </w:rPr>
              <w:t>gửi</w:t>
            </w:r>
            <w:proofErr w:type="spellEnd"/>
            <w:r w:rsidRPr="00886443">
              <w:rPr>
                <w:szCs w:val="28"/>
              </w:rPr>
              <w:t>:</w:t>
            </w:r>
          </w:p>
        </w:tc>
        <w:tc>
          <w:tcPr>
            <w:tcW w:w="5850" w:type="dxa"/>
          </w:tcPr>
          <w:p w:rsidR="003818DC" w:rsidRDefault="003818DC" w:rsidP="006B1F6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proofErr w:type="spellStart"/>
            <w:r>
              <w:rPr>
                <w:szCs w:val="28"/>
              </w:rPr>
              <w:t>Các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Sở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ngành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Tỉnh</w:t>
            </w:r>
            <w:proofErr w:type="spellEnd"/>
            <w:r>
              <w:rPr>
                <w:szCs w:val="28"/>
              </w:rPr>
              <w:t>;</w:t>
            </w:r>
          </w:p>
          <w:p w:rsidR="003818DC" w:rsidRPr="00886443" w:rsidRDefault="003818DC" w:rsidP="006B1F6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proofErr w:type="spellStart"/>
            <w:r>
              <w:rPr>
                <w:szCs w:val="28"/>
              </w:rPr>
              <w:t>Ủy</w:t>
            </w:r>
            <w:proofErr w:type="spellEnd"/>
            <w:r>
              <w:rPr>
                <w:szCs w:val="28"/>
              </w:rPr>
              <w:t xml:space="preserve"> ban </w:t>
            </w:r>
            <w:proofErr w:type="spellStart"/>
            <w:r>
              <w:rPr>
                <w:szCs w:val="28"/>
              </w:rPr>
              <w:t>nhân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dân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huyện</w:t>
            </w:r>
            <w:proofErr w:type="spellEnd"/>
            <w:r>
              <w:rPr>
                <w:szCs w:val="28"/>
              </w:rPr>
              <w:t xml:space="preserve"> , </w:t>
            </w:r>
            <w:proofErr w:type="spellStart"/>
            <w:r>
              <w:rPr>
                <w:szCs w:val="28"/>
              </w:rPr>
              <w:t>thành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phố</w:t>
            </w:r>
            <w:proofErr w:type="spellEnd"/>
            <w:r>
              <w:rPr>
                <w:szCs w:val="28"/>
              </w:rPr>
              <w:t>.</w:t>
            </w:r>
          </w:p>
        </w:tc>
      </w:tr>
    </w:tbl>
    <w:p w:rsidR="003818DC" w:rsidRDefault="003818DC" w:rsidP="003818DC">
      <w:pPr>
        <w:pStyle w:val="MtStyleBe"/>
      </w:pPr>
      <w:r>
        <w:tab/>
      </w:r>
      <w:proofErr w:type="spellStart"/>
      <w:r w:rsidRPr="003818DC">
        <w:t>Luật</w:t>
      </w:r>
      <w:proofErr w:type="spellEnd"/>
      <w:r w:rsidRPr="003818DC">
        <w:t xml:space="preserve"> </w:t>
      </w:r>
      <w:proofErr w:type="spellStart"/>
      <w:r w:rsidRPr="003818DC">
        <w:t>Đầu</w:t>
      </w:r>
      <w:proofErr w:type="spellEnd"/>
      <w:r w:rsidRPr="003818DC">
        <w:t xml:space="preserve"> </w:t>
      </w:r>
      <w:proofErr w:type="spellStart"/>
      <w:r w:rsidRPr="003818DC">
        <w:t>tư</w:t>
      </w:r>
      <w:proofErr w:type="spellEnd"/>
      <w:r w:rsidRPr="003818DC">
        <w:t xml:space="preserve"> </w:t>
      </w:r>
      <w:proofErr w:type="spellStart"/>
      <w:r w:rsidRPr="003818DC">
        <w:t>số</w:t>
      </w:r>
      <w:proofErr w:type="spellEnd"/>
      <w:r w:rsidRPr="003818DC">
        <w:t xml:space="preserve"> 61/2020/QH14 </w:t>
      </w:r>
      <w:proofErr w:type="spellStart"/>
      <w:r w:rsidRPr="003818DC">
        <w:t>ngày</w:t>
      </w:r>
      <w:proofErr w:type="spellEnd"/>
      <w:r w:rsidRPr="003818DC">
        <w:t xml:space="preserve"> 17/6/2020 </w:t>
      </w:r>
      <w:proofErr w:type="spellStart"/>
      <w:r w:rsidRPr="003818DC">
        <w:t>có</w:t>
      </w:r>
      <w:proofErr w:type="spellEnd"/>
      <w:r w:rsidRPr="003818DC">
        <w:t xml:space="preserve"> </w:t>
      </w:r>
      <w:proofErr w:type="spellStart"/>
      <w:r w:rsidRPr="003818DC">
        <w:t>hiệu</w:t>
      </w:r>
      <w:proofErr w:type="spellEnd"/>
      <w:r w:rsidRPr="003818DC">
        <w:t xml:space="preserve"> </w:t>
      </w:r>
      <w:proofErr w:type="spellStart"/>
      <w:r w:rsidRPr="003818DC">
        <w:t>lực</w:t>
      </w:r>
      <w:proofErr w:type="spellEnd"/>
      <w:r w:rsidRPr="003818DC">
        <w:t xml:space="preserve"> </w:t>
      </w:r>
      <w:proofErr w:type="spellStart"/>
      <w:r w:rsidRPr="003818DC">
        <w:t>thi</w:t>
      </w:r>
      <w:proofErr w:type="spellEnd"/>
      <w:r w:rsidRPr="003818DC">
        <w:t xml:space="preserve"> </w:t>
      </w:r>
      <w:proofErr w:type="spellStart"/>
      <w:r w:rsidRPr="003818DC">
        <w:t>hành</w:t>
      </w:r>
      <w:proofErr w:type="spellEnd"/>
      <w:r w:rsidRPr="003818DC">
        <w:t xml:space="preserve"> </w:t>
      </w:r>
      <w:proofErr w:type="spellStart"/>
      <w:r w:rsidRPr="003818DC">
        <w:t>kể</w:t>
      </w:r>
      <w:proofErr w:type="spellEnd"/>
      <w:r w:rsidRPr="003818DC">
        <w:t xml:space="preserve"> </w:t>
      </w:r>
      <w:proofErr w:type="spellStart"/>
      <w:r w:rsidRPr="003818DC">
        <w:t>từ</w:t>
      </w:r>
      <w:proofErr w:type="spellEnd"/>
      <w:r w:rsidRPr="003818DC">
        <w:t xml:space="preserve"> </w:t>
      </w:r>
      <w:proofErr w:type="spellStart"/>
      <w:r w:rsidRPr="003818DC">
        <w:t>ngày</w:t>
      </w:r>
      <w:proofErr w:type="spellEnd"/>
      <w:r w:rsidRPr="003818DC">
        <w:t xml:space="preserve"> 01</w:t>
      </w:r>
      <w:r>
        <w:t>/01</w:t>
      </w:r>
      <w:r w:rsidRPr="003818DC">
        <w:t>2021 (</w:t>
      </w:r>
      <w:proofErr w:type="spellStart"/>
      <w:r w:rsidRPr="003818DC">
        <w:t>sau</w:t>
      </w:r>
      <w:proofErr w:type="spellEnd"/>
      <w:r w:rsidRPr="003818DC">
        <w:t xml:space="preserve"> </w:t>
      </w:r>
      <w:proofErr w:type="spellStart"/>
      <w:r w:rsidRPr="003818DC">
        <w:t>đây</w:t>
      </w:r>
      <w:proofErr w:type="spellEnd"/>
      <w:r w:rsidRPr="003818DC">
        <w:t xml:space="preserve"> </w:t>
      </w:r>
      <w:proofErr w:type="spellStart"/>
      <w:r w:rsidRPr="003818DC">
        <w:t>gọi</w:t>
      </w:r>
      <w:proofErr w:type="spellEnd"/>
      <w:r w:rsidRPr="003818DC">
        <w:t xml:space="preserve"> </w:t>
      </w:r>
      <w:proofErr w:type="spellStart"/>
      <w:r w:rsidRPr="003818DC">
        <w:t>là</w:t>
      </w:r>
      <w:proofErr w:type="spellEnd"/>
      <w:r w:rsidRPr="003818DC">
        <w:t xml:space="preserve"> </w:t>
      </w:r>
      <w:proofErr w:type="spellStart"/>
      <w:r w:rsidRPr="003818DC">
        <w:t>Luật</w:t>
      </w:r>
      <w:proofErr w:type="spellEnd"/>
      <w:r w:rsidRPr="003818DC">
        <w:t xml:space="preserve"> </w:t>
      </w:r>
      <w:proofErr w:type="spellStart"/>
      <w:r w:rsidRPr="003818DC">
        <w:t>Đầu</w:t>
      </w:r>
      <w:proofErr w:type="spellEnd"/>
      <w:r w:rsidRPr="003818DC">
        <w:t xml:space="preserve"> </w:t>
      </w:r>
      <w:proofErr w:type="spellStart"/>
      <w:r w:rsidRPr="003818DC">
        <w:t>tư</w:t>
      </w:r>
      <w:proofErr w:type="spellEnd"/>
      <w:r w:rsidRPr="003818DC">
        <w:t xml:space="preserve"> </w:t>
      </w:r>
      <w:proofErr w:type="spellStart"/>
      <w:r w:rsidRPr="003818DC">
        <w:t>năm</w:t>
      </w:r>
      <w:proofErr w:type="spellEnd"/>
      <w:r w:rsidRPr="003818DC">
        <w:t xml:space="preserve"> 2020). </w:t>
      </w:r>
    </w:p>
    <w:p w:rsidR="003818DC" w:rsidRDefault="003818DC" w:rsidP="003818DC">
      <w:pPr>
        <w:pStyle w:val="MyStyleJ"/>
        <w:ind w:firstLine="720"/>
      </w:pPr>
      <w:proofErr w:type="spellStart"/>
      <w:r>
        <w:t>Trong</w:t>
      </w:r>
      <w:proofErr w:type="spellEnd"/>
      <w:r>
        <w:t xml:space="preserve"> </w:t>
      </w:r>
      <w:proofErr w:type="spellStart"/>
      <w:r>
        <w:t>thời</w:t>
      </w:r>
      <w:proofErr w:type="spellEnd"/>
      <w:r>
        <w:t xml:space="preserve"> </w:t>
      </w:r>
      <w:proofErr w:type="spellStart"/>
      <w:r>
        <w:t>gian</w:t>
      </w:r>
      <w:proofErr w:type="spellEnd"/>
      <w:r>
        <w:t xml:space="preserve"> </w:t>
      </w:r>
      <w:proofErr w:type="spellStart"/>
      <w:r w:rsidRPr="003818DC">
        <w:rPr>
          <w:i/>
        </w:rPr>
        <w:t>Nghị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định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quy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định</w:t>
      </w:r>
      <w:proofErr w:type="spellEnd"/>
      <w:r w:rsidRPr="003818DC">
        <w:rPr>
          <w:i/>
        </w:rPr>
        <w:t xml:space="preserve"> chi </w:t>
      </w:r>
      <w:proofErr w:type="spellStart"/>
      <w:r w:rsidRPr="003818DC">
        <w:rPr>
          <w:i/>
        </w:rPr>
        <w:t>tiết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và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hướng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dẫn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thi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hành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một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số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điều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của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Luật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Đầu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tư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năm</w:t>
      </w:r>
      <w:proofErr w:type="spellEnd"/>
      <w:r w:rsidRPr="003818DC">
        <w:rPr>
          <w:i/>
        </w:rPr>
        <w:t xml:space="preserve"> 2020  </w:t>
      </w:r>
      <w:proofErr w:type="spellStart"/>
      <w:r w:rsidRPr="003818DC">
        <w:rPr>
          <w:i/>
        </w:rPr>
        <w:t>và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Thông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tư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hướng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dẫn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biểu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mẫu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thực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hiện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thủ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tục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đầu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tư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và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báo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cáo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hoạt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động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đầu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tư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tại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Việt</w:t>
      </w:r>
      <w:proofErr w:type="spellEnd"/>
      <w:r w:rsidRPr="003818DC">
        <w:rPr>
          <w:i/>
        </w:rPr>
        <w:t xml:space="preserve"> Nam</w:t>
      </w:r>
      <w:r w:rsidRPr="003818DC">
        <w:t xml:space="preserve"> </w:t>
      </w:r>
      <w:proofErr w:type="spellStart"/>
      <w:r>
        <w:t>chưa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ban </w:t>
      </w:r>
      <w:proofErr w:type="spellStart"/>
      <w:r>
        <w:t>hành</w:t>
      </w:r>
      <w:proofErr w:type="spellEnd"/>
      <w:r>
        <w:t xml:space="preserve">, </w:t>
      </w:r>
      <w:proofErr w:type="spellStart"/>
      <w:r w:rsidRPr="003818DC">
        <w:t>Bộ</w:t>
      </w:r>
      <w:proofErr w:type="spellEnd"/>
      <w:r w:rsidRPr="003818DC">
        <w:t xml:space="preserve"> </w:t>
      </w:r>
      <w:proofErr w:type="spellStart"/>
      <w:r w:rsidRPr="003818DC">
        <w:t>Kế</w:t>
      </w:r>
      <w:proofErr w:type="spellEnd"/>
      <w:r w:rsidRPr="003818DC">
        <w:t xml:space="preserve"> </w:t>
      </w:r>
      <w:proofErr w:type="spellStart"/>
      <w:r w:rsidRPr="003818DC">
        <w:t>hoạch</w:t>
      </w:r>
      <w:proofErr w:type="spellEnd"/>
      <w:r w:rsidRPr="003818DC">
        <w:t xml:space="preserve"> </w:t>
      </w:r>
      <w:proofErr w:type="spellStart"/>
      <w:r w:rsidRPr="003818DC">
        <w:t>và</w:t>
      </w:r>
      <w:proofErr w:type="spellEnd"/>
      <w:r w:rsidRPr="003818DC">
        <w:t xml:space="preserve"> </w:t>
      </w:r>
      <w:proofErr w:type="spellStart"/>
      <w:r w:rsidRPr="003818DC">
        <w:t>Đầu</w:t>
      </w:r>
      <w:proofErr w:type="spellEnd"/>
      <w:r w:rsidRPr="003818DC">
        <w:t xml:space="preserve"> </w:t>
      </w:r>
      <w:proofErr w:type="spellStart"/>
      <w:r w:rsidRPr="003818DC">
        <w:t>tư</w:t>
      </w:r>
      <w:proofErr w:type="spellEnd"/>
      <w:r w:rsidRPr="003818DC">
        <w:t xml:space="preserve"> </w:t>
      </w:r>
      <w:proofErr w:type="spellStart"/>
      <w:r>
        <w:t>đã</w:t>
      </w:r>
      <w:proofErr w:type="spellEnd"/>
      <w:r>
        <w:t xml:space="preserve"> ban </w:t>
      </w:r>
      <w:proofErr w:type="spellStart"/>
      <w:r>
        <w:t>hành</w:t>
      </w:r>
      <w:proofErr w:type="spellEnd"/>
      <w:r>
        <w:t xml:space="preserve"> </w:t>
      </w:r>
      <w:proofErr w:type="spellStart"/>
      <w:r>
        <w:t>hai</w:t>
      </w:r>
      <w:proofErr w:type="spellEnd"/>
      <w:r>
        <w:t xml:space="preserve"> </w:t>
      </w:r>
      <w:proofErr w:type="spellStart"/>
      <w:r>
        <w:t>văn</w:t>
      </w:r>
      <w:proofErr w:type="spellEnd"/>
      <w:r>
        <w:t xml:space="preserve"> </w:t>
      </w:r>
      <w:proofErr w:type="spellStart"/>
      <w:r>
        <w:t>bản</w:t>
      </w:r>
      <w:proofErr w:type="spellEnd"/>
      <w:r>
        <w:t xml:space="preserve"> </w:t>
      </w:r>
      <w:proofErr w:type="spellStart"/>
      <w:r>
        <w:t>hướng</w:t>
      </w:r>
      <w:proofErr w:type="spellEnd"/>
      <w:r>
        <w:t xml:space="preserve"> </w:t>
      </w:r>
      <w:proofErr w:type="spellStart"/>
      <w:r>
        <w:t>dẫn</w:t>
      </w:r>
      <w:proofErr w:type="spellEnd"/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hiện</w:t>
      </w:r>
      <w:proofErr w:type="spellEnd"/>
      <w:r>
        <w:t>:</w:t>
      </w:r>
    </w:p>
    <w:p w:rsidR="003818DC" w:rsidRDefault="003818DC" w:rsidP="003818DC">
      <w:pPr>
        <w:pStyle w:val="MyStyleJ"/>
        <w:ind w:firstLine="720"/>
      </w:pPr>
      <w:r w:rsidRPr="003818DC">
        <w:rPr>
          <w:b/>
        </w:rPr>
        <w:t xml:space="preserve">1.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văn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8909/BKHĐT-PC </w:t>
      </w:r>
      <w:proofErr w:type="spellStart"/>
      <w:r>
        <w:t>ngày</w:t>
      </w:r>
      <w:proofErr w:type="spellEnd"/>
      <w:r>
        <w:t xml:space="preserve"> 31/12/2020 </w:t>
      </w:r>
      <w:proofErr w:type="spellStart"/>
      <w:r>
        <w:t>về</w:t>
      </w:r>
      <w:proofErr w:type="spellEnd"/>
      <w:r>
        <w:t xml:space="preserve"> </w:t>
      </w:r>
      <w:proofErr w:type="spellStart"/>
      <w:r>
        <w:t>việc</w:t>
      </w:r>
      <w:proofErr w:type="spellEnd"/>
      <w:r>
        <w:t xml:space="preserve"> </w:t>
      </w:r>
      <w:proofErr w:type="spellStart"/>
      <w:r>
        <w:t>triển</w:t>
      </w:r>
      <w:proofErr w:type="spellEnd"/>
      <w:r>
        <w:t xml:space="preserve"> </w:t>
      </w:r>
      <w:proofErr w:type="spellStart"/>
      <w:r>
        <w:t>khai</w:t>
      </w:r>
      <w:proofErr w:type="spellEnd"/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 </w:t>
      </w:r>
      <w:proofErr w:type="spellStart"/>
      <w:r>
        <w:t>Luật</w:t>
      </w:r>
      <w:proofErr w:type="spellEnd"/>
      <w:r>
        <w:t xml:space="preserve">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tư</w:t>
      </w:r>
      <w:proofErr w:type="spellEnd"/>
      <w:r>
        <w:t xml:space="preserve">;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đó</w:t>
      </w:r>
      <w:proofErr w:type="spellEnd"/>
      <w:r>
        <w:t xml:space="preserve"> </w:t>
      </w:r>
      <w:proofErr w:type="spellStart"/>
      <w:r>
        <w:t>có</w:t>
      </w:r>
      <w:bookmarkStart w:id="0" w:name="_GoBack"/>
      <w:bookmarkEnd w:id="0"/>
      <w:proofErr w:type="spellEnd"/>
      <w:r>
        <w:t xml:space="preserve"> </w:t>
      </w:r>
      <w:proofErr w:type="spellStart"/>
      <w:r>
        <w:t>kèm</w:t>
      </w:r>
      <w:proofErr w:type="spellEnd"/>
      <w:r>
        <w:t xml:space="preserve"> </w:t>
      </w:r>
      <w:proofErr w:type="spellStart"/>
      <w:r>
        <w:t>theo</w:t>
      </w:r>
      <w:proofErr w:type="spellEnd"/>
      <w:r>
        <w:t xml:space="preserve"> </w:t>
      </w:r>
      <w:proofErr w:type="spellStart"/>
      <w:r w:rsidRPr="003818DC">
        <w:rPr>
          <w:i/>
        </w:rPr>
        <w:t>Mẫu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văn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bản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thực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hiện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thủ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tục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đầu</w:t>
      </w:r>
      <w:proofErr w:type="spellEnd"/>
      <w:r w:rsidRPr="003818DC">
        <w:rPr>
          <w:i/>
        </w:rPr>
        <w:t xml:space="preserve"> </w:t>
      </w:r>
      <w:proofErr w:type="spellStart"/>
      <w:r w:rsidRPr="003818DC">
        <w:rPr>
          <w:i/>
        </w:rPr>
        <w:t>tư</w:t>
      </w:r>
      <w:proofErr w:type="spellEnd"/>
      <w:r>
        <w:t xml:space="preserve"> </w:t>
      </w:r>
      <w:proofErr w:type="spellStart"/>
      <w:r>
        <w:t>đối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tư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nước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dự</w:t>
      </w:r>
      <w:proofErr w:type="spellEnd"/>
      <w:r>
        <w:t xml:space="preserve"> </w:t>
      </w:r>
      <w:proofErr w:type="spellStart"/>
      <w:r>
        <w:t>án</w:t>
      </w:r>
      <w:proofErr w:type="spellEnd"/>
      <w:r>
        <w:t xml:space="preserve"> FDI.</w:t>
      </w:r>
    </w:p>
    <w:p w:rsidR="003818DC" w:rsidRDefault="003818DC" w:rsidP="003818DC">
      <w:pPr>
        <w:pStyle w:val="MyStyleJ"/>
        <w:ind w:firstLine="720"/>
      </w:pPr>
      <w:r w:rsidRPr="003818DC">
        <w:rPr>
          <w:b/>
        </w:rPr>
        <w:t>2.</w:t>
      </w:r>
      <w:r>
        <w:t xml:space="preserve">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văn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8918/BKHĐT-PC </w:t>
      </w:r>
      <w:proofErr w:type="spellStart"/>
      <w:r>
        <w:t>ngày</w:t>
      </w:r>
      <w:proofErr w:type="spellEnd"/>
      <w:r>
        <w:t xml:space="preserve"> 31/12/2020 </w:t>
      </w:r>
      <w:proofErr w:type="spellStart"/>
      <w:r>
        <w:t>về</w:t>
      </w:r>
      <w:proofErr w:type="spellEnd"/>
      <w:r>
        <w:t xml:space="preserve"> </w:t>
      </w:r>
      <w:proofErr w:type="spellStart"/>
      <w:r>
        <w:t>việc</w:t>
      </w:r>
      <w:proofErr w:type="spellEnd"/>
      <w:r>
        <w:t xml:space="preserve"> </w:t>
      </w:r>
      <w:proofErr w:type="spellStart"/>
      <w:r>
        <w:t>hướng</w:t>
      </w:r>
      <w:proofErr w:type="spellEnd"/>
      <w:r>
        <w:t xml:space="preserve"> </w:t>
      </w:r>
      <w:proofErr w:type="spellStart"/>
      <w:r>
        <w:t>dẫn</w:t>
      </w:r>
      <w:proofErr w:type="spellEnd"/>
      <w:r>
        <w:t xml:space="preserve"> </w:t>
      </w:r>
      <w:proofErr w:type="spellStart"/>
      <w:r>
        <w:t>tạm</w:t>
      </w:r>
      <w:proofErr w:type="spellEnd"/>
      <w:r>
        <w:t xml:space="preserve"> </w:t>
      </w:r>
      <w:proofErr w:type="spellStart"/>
      <w:r>
        <w:t>thời</w:t>
      </w:r>
      <w:proofErr w:type="spellEnd"/>
      <w:r>
        <w:t xml:space="preserve"> </w:t>
      </w:r>
      <w:proofErr w:type="spellStart"/>
      <w:r>
        <w:t>mẫu</w:t>
      </w:r>
      <w:proofErr w:type="spellEnd"/>
      <w:r>
        <w:t xml:space="preserve"> </w:t>
      </w:r>
      <w:proofErr w:type="spellStart"/>
      <w:r>
        <w:t>văn</w:t>
      </w:r>
      <w:proofErr w:type="spellEnd"/>
      <w:r>
        <w:t xml:space="preserve"> </w:t>
      </w:r>
      <w:proofErr w:type="spellStart"/>
      <w:r>
        <w:t>bản</w:t>
      </w:r>
      <w:proofErr w:type="spellEnd"/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 </w:t>
      </w:r>
      <w:proofErr w:type="spellStart"/>
      <w:r>
        <w:t>thủ</w:t>
      </w:r>
      <w:proofErr w:type="spellEnd"/>
      <w:r>
        <w:t xml:space="preserve"> </w:t>
      </w:r>
      <w:proofErr w:type="spellStart"/>
      <w:r>
        <w:t>tục</w:t>
      </w:r>
      <w:proofErr w:type="spellEnd"/>
      <w:r>
        <w:t xml:space="preserve">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tư</w:t>
      </w:r>
      <w:proofErr w:type="spellEnd"/>
      <w:r>
        <w:t xml:space="preserve"> </w:t>
      </w:r>
      <w:proofErr w:type="spellStart"/>
      <w:r>
        <w:t>ra</w:t>
      </w:r>
      <w:proofErr w:type="spellEnd"/>
      <w:r>
        <w:t xml:space="preserve"> </w:t>
      </w:r>
      <w:proofErr w:type="spellStart"/>
      <w:r>
        <w:t>nước</w:t>
      </w:r>
      <w:proofErr w:type="spellEnd"/>
      <w:r>
        <w:t xml:space="preserve"> </w:t>
      </w:r>
      <w:proofErr w:type="spellStart"/>
      <w:r>
        <w:t>ngoài</w:t>
      </w:r>
      <w:proofErr w:type="spellEnd"/>
      <w:r>
        <w:t>.</w:t>
      </w:r>
    </w:p>
    <w:p w:rsidR="003818DC" w:rsidRDefault="003818DC" w:rsidP="003818DC">
      <w:pPr>
        <w:pStyle w:val="MyStyleJ"/>
        <w:ind w:firstLine="720"/>
      </w:pPr>
      <w:r>
        <w:t>(</w:t>
      </w:r>
      <w:proofErr w:type="spellStart"/>
      <w:r>
        <w:t>Các</w:t>
      </w:r>
      <w:proofErr w:type="spellEnd"/>
      <w:r>
        <w:t xml:space="preserve"> </w:t>
      </w:r>
      <w:proofErr w:type="spellStart"/>
      <w:r>
        <w:t>văn</w:t>
      </w:r>
      <w:proofErr w:type="spellEnd"/>
      <w:r>
        <w:t xml:space="preserve"> </w:t>
      </w:r>
      <w:proofErr w:type="spellStart"/>
      <w:r>
        <w:t>bản</w:t>
      </w:r>
      <w:proofErr w:type="spellEnd"/>
      <w:r>
        <w:t xml:space="preserve">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thể</w:t>
      </w:r>
      <w:proofErr w:type="spellEnd"/>
      <w:r>
        <w:t xml:space="preserve"> </w:t>
      </w:r>
      <w:proofErr w:type="spellStart"/>
      <w:r>
        <w:t>truy</w:t>
      </w:r>
      <w:proofErr w:type="spellEnd"/>
      <w:r>
        <w:t xml:space="preserve"> </w:t>
      </w:r>
      <w:proofErr w:type="spellStart"/>
      <w:r>
        <w:t>cập</w:t>
      </w:r>
      <w:proofErr w:type="spellEnd"/>
      <w:r>
        <w:t xml:space="preserve"> </w:t>
      </w:r>
      <w:proofErr w:type="spellStart"/>
      <w:r>
        <w:t>tại</w:t>
      </w:r>
      <w:proofErr w:type="spellEnd"/>
      <w:r>
        <w:t xml:space="preserve"> </w:t>
      </w:r>
      <w:proofErr w:type="spellStart"/>
      <w:r>
        <w:t>Trang</w:t>
      </w:r>
      <w:proofErr w:type="spellEnd"/>
      <w:r>
        <w:t xml:space="preserve"> </w:t>
      </w:r>
      <w:proofErr w:type="spellStart"/>
      <w:r>
        <w:t>thông</w:t>
      </w:r>
      <w:proofErr w:type="spellEnd"/>
      <w:r>
        <w:t xml:space="preserve"> tin </w:t>
      </w:r>
      <w:proofErr w:type="spellStart"/>
      <w:r>
        <w:t>điện</w:t>
      </w:r>
      <w:proofErr w:type="spellEnd"/>
      <w:r>
        <w:t xml:space="preserve"> </w:t>
      </w:r>
      <w:proofErr w:type="spellStart"/>
      <w:r>
        <w:t>tử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Bộ</w:t>
      </w:r>
      <w:proofErr w:type="spellEnd"/>
      <w:r>
        <w:t xml:space="preserve"> </w:t>
      </w:r>
      <w:proofErr w:type="spellStart"/>
      <w:r>
        <w:t>Kế</w:t>
      </w:r>
      <w:proofErr w:type="spellEnd"/>
      <w:r>
        <w:t xml:space="preserve"> </w:t>
      </w:r>
      <w:proofErr w:type="spellStart"/>
      <w:r>
        <w:t>hoạch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tư</w:t>
      </w:r>
      <w:proofErr w:type="spellEnd"/>
      <w:r>
        <w:t xml:space="preserve">: </w:t>
      </w:r>
      <w:hyperlink r:id="rId4" w:history="1">
        <w:r w:rsidRPr="004A399A">
          <w:rPr>
            <w:rStyle w:val="Hyperlink"/>
            <w:b/>
            <w:i/>
            <w:color w:val="0070C0"/>
            <w:u w:val="none"/>
          </w:rPr>
          <w:t>www.mpi.gov.vn</w:t>
        </w:r>
      </w:hyperlink>
      <w:r>
        <w:t xml:space="preserve">; </w:t>
      </w:r>
      <w:proofErr w:type="spellStart"/>
      <w:r>
        <w:t>hoặc</w:t>
      </w:r>
      <w:proofErr w:type="spellEnd"/>
      <w:r>
        <w:t xml:space="preserve"> </w:t>
      </w:r>
      <w:proofErr w:type="spellStart"/>
      <w:r>
        <w:t>Trang</w:t>
      </w:r>
      <w:proofErr w:type="spellEnd"/>
      <w:r>
        <w:t xml:space="preserve"> </w:t>
      </w:r>
      <w:proofErr w:type="spellStart"/>
      <w:r>
        <w:t>thông</w:t>
      </w:r>
      <w:proofErr w:type="spellEnd"/>
      <w:r>
        <w:t xml:space="preserve"> tin </w:t>
      </w:r>
      <w:proofErr w:type="spellStart"/>
      <w:r>
        <w:t>điện</w:t>
      </w:r>
      <w:proofErr w:type="spellEnd"/>
      <w:r>
        <w:t xml:space="preserve"> </w:t>
      </w:r>
      <w:proofErr w:type="spellStart"/>
      <w:r>
        <w:t>tử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Sở</w:t>
      </w:r>
      <w:proofErr w:type="spellEnd"/>
      <w:r>
        <w:t xml:space="preserve"> </w:t>
      </w:r>
      <w:proofErr w:type="spellStart"/>
      <w:r>
        <w:t>Kế</w:t>
      </w:r>
      <w:proofErr w:type="spellEnd"/>
      <w:r>
        <w:t xml:space="preserve"> </w:t>
      </w:r>
      <w:proofErr w:type="spellStart"/>
      <w:r>
        <w:t>hoạch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tư</w:t>
      </w:r>
      <w:proofErr w:type="spellEnd"/>
      <w:r>
        <w:t xml:space="preserve">: </w:t>
      </w:r>
      <w:r w:rsidRPr="003818DC">
        <w:rPr>
          <w:b/>
          <w:i/>
          <w:color w:val="0070C0"/>
        </w:rPr>
        <w:t>skhdt.dongthap.gov.vn</w:t>
      </w:r>
      <w:r>
        <w:t>)</w:t>
      </w:r>
    </w:p>
    <w:p w:rsidR="003818DC" w:rsidRDefault="003818DC" w:rsidP="003818DC">
      <w:pPr>
        <w:pStyle w:val="MyStyleJ"/>
      </w:pPr>
      <w:r w:rsidRPr="003818DC">
        <w:t xml:space="preserve"> </w:t>
      </w:r>
      <w:r>
        <w:tab/>
      </w:r>
      <w:proofErr w:type="spellStart"/>
      <w:r>
        <w:t>Đề</w:t>
      </w:r>
      <w:proofErr w:type="spellEnd"/>
      <w:r>
        <w:t xml:space="preserve"> </w:t>
      </w:r>
      <w:proofErr w:type="spellStart"/>
      <w:r>
        <w:t>nghị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Sở</w:t>
      </w:r>
      <w:proofErr w:type="spellEnd"/>
      <w:r>
        <w:t xml:space="preserve">, </w:t>
      </w:r>
      <w:proofErr w:type="spellStart"/>
      <w:r>
        <w:t>ngành</w:t>
      </w:r>
      <w:proofErr w:type="spellEnd"/>
      <w:r>
        <w:t xml:space="preserve"> </w:t>
      </w:r>
      <w:proofErr w:type="spellStart"/>
      <w:r>
        <w:t>Tỉnh</w:t>
      </w:r>
      <w:proofErr w:type="spellEnd"/>
      <w:r>
        <w:t xml:space="preserve">, </w:t>
      </w:r>
      <w:proofErr w:type="spellStart"/>
      <w:r>
        <w:t>Ủy</w:t>
      </w:r>
      <w:proofErr w:type="spellEnd"/>
      <w:r>
        <w:t xml:space="preserve"> ban </w:t>
      </w:r>
      <w:proofErr w:type="spellStart"/>
      <w:r>
        <w:t>nhân</w:t>
      </w:r>
      <w:proofErr w:type="spellEnd"/>
      <w:r>
        <w:t xml:space="preserve"> </w:t>
      </w:r>
      <w:proofErr w:type="spellStart"/>
      <w:r>
        <w:t>dân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huyện</w:t>
      </w:r>
      <w:proofErr w:type="spellEnd"/>
      <w:r>
        <w:t xml:space="preserve">, </w:t>
      </w:r>
      <w:proofErr w:type="spellStart"/>
      <w:r>
        <w:t>thành</w:t>
      </w:r>
      <w:proofErr w:type="spellEnd"/>
      <w:r>
        <w:t xml:space="preserve"> </w:t>
      </w:r>
      <w:proofErr w:type="spellStart"/>
      <w:r>
        <w:t>phố</w:t>
      </w:r>
      <w:proofErr w:type="spellEnd"/>
      <w:r>
        <w:t xml:space="preserve"> </w:t>
      </w:r>
      <w:proofErr w:type="spellStart"/>
      <w:r>
        <w:t>nghiên</w:t>
      </w:r>
      <w:proofErr w:type="spellEnd"/>
      <w:r>
        <w:t xml:space="preserve"> </w:t>
      </w:r>
      <w:proofErr w:type="spellStart"/>
      <w:r>
        <w:t>cứu</w:t>
      </w:r>
      <w:proofErr w:type="spellEnd"/>
      <w:r>
        <w:t xml:space="preserve">,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  </w:t>
      </w:r>
      <w:proofErr w:type="spellStart"/>
      <w:r>
        <w:t>Luật</w:t>
      </w:r>
      <w:proofErr w:type="spellEnd"/>
      <w:r>
        <w:t xml:space="preserve">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tư</w:t>
      </w:r>
      <w:proofErr w:type="spellEnd"/>
      <w:r>
        <w:t xml:space="preserve"> </w:t>
      </w:r>
      <w:proofErr w:type="spellStart"/>
      <w:r>
        <w:t>năm</w:t>
      </w:r>
      <w:proofErr w:type="spellEnd"/>
      <w:r>
        <w:t xml:space="preserve"> 2020 </w:t>
      </w:r>
      <w:proofErr w:type="spellStart"/>
      <w:r>
        <w:t>theo</w:t>
      </w:r>
      <w:proofErr w:type="spellEnd"/>
      <w:r>
        <w:t xml:space="preserve"> </w:t>
      </w:r>
      <w:proofErr w:type="spellStart"/>
      <w:r>
        <w:t>hướng</w:t>
      </w:r>
      <w:proofErr w:type="spellEnd"/>
      <w:r>
        <w:t xml:space="preserve"> </w:t>
      </w:r>
      <w:proofErr w:type="spellStart"/>
      <w:r>
        <w:t>dẫn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Bộ</w:t>
      </w:r>
      <w:proofErr w:type="spellEnd"/>
      <w:r>
        <w:t xml:space="preserve"> </w:t>
      </w:r>
      <w:proofErr w:type="spellStart"/>
      <w:r>
        <w:t>Kế</w:t>
      </w:r>
      <w:proofErr w:type="spellEnd"/>
      <w:r>
        <w:t xml:space="preserve"> </w:t>
      </w:r>
      <w:proofErr w:type="spellStart"/>
      <w:r>
        <w:t>hoạch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tư</w:t>
      </w:r>
      <w:proofErr w:type="spellEnd"/>
      <w:r>
        <w:t>./.</w:t>
      </w:r>
    </w:p>
    <w:p w:rsidR="003818DC" w:rsidRDefault="003818DC" w:rsidP="003818DC">
      <w:pPr>
        <w:pStyle w:val="MyStyleJ"/>
      </w:pPr>
    </w:p>
    <w:tbl>
      <w:tblPr>
        <w:tblW w:w="0" w:type="auto"/>
        <w:tblInd w:w="108" w:type="dxa"/>
        <w:tblLook w:val="01E0"/>
      </w:tblPr>
      <w:tblGrid>
        <w:gridCol w:w="5163"/>
        <w:gridCol w:w="3974"/>
      </w:tblGrid>
      <w:tr w:rsidR="003818DC" w:rsidRPr="00886443" w:rsidTr="006B1F66">
        <w:tc>
          <w:tcPr>
            <w:tcW w:w="5358" w:type="dxa"/>
          </w:tcPr>
          <w:p w:rsidR="003818DC" w:rsidRPr="00886443" w:rsidRDefault="003818DC" w:rsidP="006B1F66">
            <w:pPr>
              <w:ind w:right="43"/>
              <w:jc w:val="both"/>
              <w:rPr>
                <w:b/>
                <w:i/>
                <w:color w:val="000000"/>
                <w:szCs w:val="28"/>
              </w:rPr>
            </w:pPr>
            <w:proofErr w:type="spellStart"/>
            <w:r w:rsidRPr="00886443">
              <w:rPr>
                <w:b/>
                <w:i/>
                <w:color w:val="000000"/>
                <w:sz w:val="24"/>
                <w:szCs w:val="28"/>
              </w:rPr>
              <w:t>Nơi</w:t>
            </w:r>
            <w:proofErr w:type="spellEnd"/>
            <w:r w:rsidRPr="00886443">
              <w:rPr>
                <w:b/>
                <w:i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86443">
              <w:rPr>
                <w:b/>
                <w:i/>
                <w:color w:val="000000"/>
                <w:sz w:val="24"/>
                <w:szCs w:val="28"/>
              </w:rPr>
              <w:t>nhận</w:t>
            </w:r>
            <w:proofErr w:type="spellEnd"/>
            <w:r w:rsidRPr="00886443">
              <w:rPr>
                <w:b/>
                <w:i/>
                <w:color w:val="000000"/>
                <w:sz w:val="24"/>
                <w:szCs w:val="28"/>
              </w:rPr>
              <w:t xml:space="preserve">:                                                  </w:t>
            </w:r>
          </w:p>
        </w:tc>
        <w:tc>
          <w:tcPr>
            <w:tcW w:w="4110" w:type="dxa"/>
          </w:tcPr>
          <w:p w:rsidR="003818DC" w:rsidRPr="00886443" w:rsidRDefault="003818DC" w:rsidP="006B1F66">
            <w:pPr>
              <w:ind w:right="43"/>
              <w:jc w:val="center"/>
              <w:rPr>
                <w:b/>
                <w:color w:val="000000"/>
                <w:szCs w:val="28"/>
              </w:rPr>
            </w:pPr>
            <w:r w:rsidRPr="00886443">
              <w:rPr>
                <w:b/>
                <w:color w:val="000000"/>
                <w:szCs w:val="28"/>
              </w:rPr>
              <w:t xml:space="preserve"> GIÁM ĐỐC</w:t>
            </w:r>
          </w:p>
        </w:tc>
      </w:tr>
      <w:tr w:rsidR="003818DC" w:rsidRPr="00886443" w:rsidTr="006B1F66">
        <w:trPr>
          <w:trHeight w:val="1012"/>
        </w:trPr>
        <w:tc>
          <w:tcPr>
            <w:tcW w:w="5358" w:type="dxa"/>
          </w:tcPr>
          <w:p w:rsidR="003818DC" w:rsidRPr="00886443" w:rsidRDefault="003818DC" w:rsidP="006B1F66">
            <w:pPr>
              <w:ind w:right="43"/>
              <w:jc w:val="both"/>
              <w:rPr>
                <w:color w:val="000000"/>
                <w:sz w:val="22"/>
              </w:rPr>
            </w:pPr>
            <w:r w:rsidRPr="00886443"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886443">
              <w:rPr>
                <w:color w:val="000000"/>
                <w:sz w:val="22"/>
                <w:szCs w:val="22"/>
              </w:rPr>
              <w:t>Như</w:t>
            </w:r>
            <w:proofErr w:type="spellEnd"/>
            <w:r w:rsidRPr="0088644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86443">
              <w:rPr>
                <w:color w:val="000000"/>
                <w:sz w:val="22"/>
                <w:szCs w:val="22"/>
              </w:rPr>
              <w:t>trên</w:t>
            </w:r>
            <w:proofErr w:type="spellEnd"/>
            <w:r w:rsidRPr="00886443">
              <w:rPr>
                <w:color w:val="000000"/>
                <w:sz w:val="22"/>
                <w:szCs w:val="22"/>
              </w:rPr>
              <w:t xml:space="preserve">; </w:t>
            </w:r>
          </w:p>
          <w:p w:rsidR="003818DC" w:rsidRDefault="003818DC" w:rsidP="006B1F66">
            <w:pPr>
              <w:ind w:right="43"/>
              <w:jc w:val="both"/>
              <w:rPr>
                <w:color w:val="000000"/>
                <w:sz w:val="22"/>
              </w:rPr>
            </w:pPr>
            <w:r w:rsidRPr="00886443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 xml:space="preserve">UBND </w:t>
            </w:r>
            <w:proofErr w:type="spellStart"/>
            <w:r>
              <w:rPr>
                <w:color w:val="000000"/>
                <w:sz w:val="22"/>
                <w:szCs w:val="22"/>
              </w:rPr>
              <w:t>Tỉnh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(b/c);</w:t>
            </w:r>
          </w:p>
          <w:p w:rsidR="003818DC" w:rsidRPr="00886443" w:rsidRDefault="003818DC" w:rsidP="006B1F66">
            <w:pPr>
              <w:ind w:right="43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color w:val="000000"/>
                <w:sz w:val="22"/>
                <w:szCs w:val="22"/>
              </w:rPr>
              <w:t>Trung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tâm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KSTTHC &amp; PVHCC;</w:t>
            </w:r>
          </w:p>
          <w:p w:rsidR="003818DC" w:rsidRDefault="003818DC" w:rsidP="006B1F66">
            <w:pPr>
              <w:ind w:right="43"/>
              <w:jc w:val="both"/>
              <w:rPr>
                <w:color w:val="000000"/>
                <w:sz w:val="22"/>
              </w:rPr>
            </w:pPr>
            <w:r w:rsidRPr="00886443">
              <w:rPr>
                <w:color w:val="000000"/>
                <w:sz w:val="22"/>
                <w:szCs w:val="22"/>
              </w:rPr>
              <w:t xml:space="preserve">- BGĐ </w:t>
            </w:r>
            <w:proofErr w:type="spellStart"/>
            <w:r w:rsidRPr="00886443">
              <w:rPr>
                <w:color w:val="000000"/>
                <w:sz w:val="22"/>
                <w:szCs w:val="22"/>
              </w:rPr>
              <w:t>Sở</w:t>
            </w:r>
            <w:proofErr w:type="spellEnd"/>
            <w:r w:rsidRPr="00886443">
              <w:rPr>
                <w:color w:val="000000"/>
                <w:sz w:val="22"/>
                <w:szCs w:val="22"/>
              </w:rPr>
              <w:t>;</w:t>
            </w:r>
          </w:p>
          <w:p w:rsidR="003818DC" w:rsidRPr="00886443" w:rsidRDefault="003818DC" w:rsidP="006B1F66">
            <w:pPr>
              <w:ind w:right="43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- VP </w:t>
            </w:r>
            <w:proofErr w:type="spellStart"/>
            <w:r>
              <w:rPr>
                <w:color w:val="000000"/>
                <w:sz w:val="22"/>
                <w:szCs w:val="22"/>
              </w:rPr>
              <w:t>Sở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color w:val="000000"/>
                <w:sz w:val="22"/>
                <w:szCs w:val="22"/>
              </w:rPr>
              <w:t>đăng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tải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lên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Website </w:t>
            </w:r>
            <w:proofErr w:type="spellStart"/>
            <w:r>
              <w:rPr>
                <w:color w:val="000000"/>
                <w:sz w:val="22"/>
                <w:szCs w:val="22"/>
              </w:rPr>
              <w:t>Sở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KH&amp;ĐT);</w:t>
            </w:r>
          </w:p>
          <w:p w:rsidR="003818DC" w:rsidRPr="00886443" w:rsidRDefault="003818DC" w:rsidP="006B1F66">
            <w:pPr>
              <w:ind w:right="43"/>
              <w:jc w:val="both"/>
              <w:rPr>
                <w:color w:val="000000"/>
                <w:szCs w:val="28"/>
              </w:rPr>
            </w:pPr>
            <w:r w:rsidRPr="00886443"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886443">
              <w:rPr>
                <w:color w:val="000000"/>
                <w:sz w:val="22"/>
                <w:szCs w:val="22"/>
              </w:rPr>
              <w:t>Lưu</w:t>
            </w:r>
            <w:proofErr w:type="spellEnd"/>
            <w:r w:rsidRPr="00886443">
              <w:rPr>
                <w:color w:val="000000"/>
                <w:sz w:val="22"/>
                <w:szCs w:val="22"/>
              </w:rPr>
              <w:t xml:space="preserve">: VT; </w:t>
            </w:r>
            <w:r w:rsidRPr="00886443">
              <w:rPr>
                <w:sz w:val="22"/>
                <w:szCs w:val="22"/>
                <w:lang w:val="vi-VN" w:eastAsia="ar-SA"/>
              </w:rPr>
              <w:t>P.HTĐT</w:t>
            </w:r>
            <w:r w:rsidRPr="00886443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110" w:type="dxa"/>
          </w:tcPr>
          <w:p w:rsidR="003818DC" w:rsidRPr="00886443" w:rsidRDefault="003818DC" w:rsidP="006B1F66">
            <w:pPr>
              <w:ind w:right="43"/>
              <w:jc w:val="center"/>
              <w:rPr>
                <w:b/>
                <w:color w:val="000000"/>
                <w:szCs w:val="28"/>
              </w:rPr>
            </w:pPr>
          </w:p>
          <w:p w:rsidR="003818DC" w:rsidRPr="00886443" w:rsidRDefault="003818DC" w:rsidP="006B1F66">
            <w:pPr>
              <w:ind w:right="43"/>
              <w:jc w:val="center"/>
              <w:rPr>
                <w:b/>
                <w:color w:val="000000"/>
                <w:szCs w:val="28"/>
              </w:rPr>
            </w:pPr>
          </w:p>
          <w:p w:rsidR="003818DC" w:rsidRPr="00886443" w:rsidRDefault="003818DC" w:rsidP="006B1F66">
            <w:pPr>
              <w:ind w:right="43"/>
              <w:jc w:val="center"/>
              <w:rPr>
                <w:b/>
                <w:color w:val="000000"/>
                <w:szCs w:val="28"/>
              </w:rPr>
            </w:pPr>
          </w:p>
          <w:p w:rsidR="003818DC" w:rsidRDefault="003818DC" w:rsidP="006B1F66">
            <w:pPr>
              <w:ind w:right="43"/>
              <w:jc w:val="center"/>
              <w:rPr>
                <w:b/>
                <w:color w:val="000000"/>
                <w:szCs w:val="28"/>
              </w:rPr>
            </w:pPr>
          </w:p>
          <w:p w:rsidR="00443588" w:rsidRPr="00886443" w:rsidRDefault="00443588" w:rsidP="006B1F66">
            <w:pPr>
              <w:ind w:right="43"/>
              <w:jc w:val="center"/>
              <w:rPr>
                <w:b/>
                <w:color w:val="000000"/>
                <w:szCs w:val="28"/>
              </w:rPr>
            </w:pPr>
          </w:p>
          <w:p w:rsidR="003818DC" w:rsidRPr="00886443" w:rsidRDefault="003818DC" w:rsidP="006B1F66">
            <w:pPr>
              <w:ind w:right="43"/>
              <w:jc w:val="center"/>
              <w:rPr>
                <w:b/>
                <w:color w:val="000000"/>
                <w:szCs w:val="28"/>
              </w:rPr>
            </w:pPr>
          </w:p>
        </w:tc>
      </w:tr>
      <w:tr w:rsidR="003818DC" w:rsidRPr="00886443" w:rsidTr="006B1F66">
        <w:trPr>
          <w:trHeight w:val="378"/>
        </w:trPr>
        <w:tc>
          <w:tcPr>
            <w:tcW w:w="5358" w:type="dxa"/>
          </w:tcPr>
          <w:p w:rsidR="003818DC" w:rsidRPr="00886443" w:rsidRDefault="003818DC" w:rsidP="006B1F66">
            <w:pPr>
              <w:ind w:right="43"/>
              <w:jc w:val="both"/>
              <w:rPr>
                <w:color w:val="000000"/>
                <w:szCs w:val="28"/>
              </w:rPr>
            </w:pPr>
          </w:p>
        </w:tc>
        <w:tc>
          <w:tcPr>
            <w:tcW w:w="4110" w:type="dxa"/>
          </w:tcPr>
          <w:p w:rsidR="003818DC" w:rsidRPr="00886443" w:rsidRDefault="003818DC" w:rsidP="006B1F66">
            <w:pPr>
              <w:ind w:right="43"/>
              <w:jc w:val="center"/>
              <w:rPr>
                <w:color w:val="000000"/>
                <w:szCs w:val="28"/>
              </w:rPr>
            </w:pPr>
            <w:r w:rsidRPr="00886443">
              <w:rPr>
                <w:b/>
                <w:color w:val="000000"/>
                <w:szCs w:val="28"/>
              </w:rPr>
              <w:t xml:space="preserve"> </w:t>
            </w:r>
            <w:proofErr w:type="spellStart"/>
            <w:r w:rsidRPr="00886443">
              <w:rPr>
                <w:b/>
                <w:color w:val="000000"/>
                <w:szCs w:val="28"/>
              </w:rPr>
              <w:t>Trương</w:t>
            </w:r>
            <w:proofErr w:type="spellEnd"/>
            <w:r w:rsidRPr="00886443">
              <w:rPr>
                <w:b/>
                <w:color w:val="000000"/>
                <w:szCs w:val="28"/>
              </w:rPr>
              <w:t xml:space="preserve"> </w:t>
            </w:r>
            <w:proofErr w:type="spellStart"/>
            <w:r w:rsidRPr="00886443">
              <w:rPr>
                <w:b/>
                <w:color w:val="000000"/>
                <w:szCs w:val="28"/>
              </w:rPr>
              <w:t>Hòa</w:t>
            </w:r>
            <w:proofErr w:type="spellEnd"/>
            <w:r w:rsidRPr="00886443">
              <w:rPr>
                <w:b/>
                <w:color w:val="000000"/>
                <w:szCs w:val="28"/>
              </w:rPr>
              <w:t xml:space="preserve"> </w:t>
            </w:r>
            <w:proofErr w:type="spellStart"/>
            <w:r w:rsidRPr="00886443">
              <w:rPr>
                <w:b/>
                <w:color w:val="000000"/>
                <w:szCs w:val="28"/>
              </w:rPr>
              <w:t>Châu</w:t>
            </w:r>
            <w:proofErr w:type="spellEnd"/>
          </w:p>
        </w:tc>
      </w:tr>
    </w:tbl>
    <w:p w:rsidR="003818DC" w:rsidRPr="003818DC" w:rsidRDefault="003818DC" w:rsidP="003818DC">
      <w:pPr>
        <w:pStyle w:val="MyStyleJ"/>
      </w:pPr>
    </w:p>
    <w:p w:rsidR="00E5271B" w:rsidRDefault="00E5271B"/>
    <w:sectPr w:rsidR="00E5271B" w:rsidSect="00E165AC">
      <w:pgSz w:w="11909" w:h="16834" w:code="9"/>
      <w:pgMar w:top="1440" w:right="1152" w:bottom="1440" w:left="1728" w:header="576" w:footer="576" w:gutter="0"/>
      <w:cols w:space="720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40"/>
  <w:drawingGridVerticalSpacing w:val="381"/>
  <w:displayHorizontalDrawingGridEvery w:val="2"/>
  <w:characterSpacingControl w:val="doNotCompress"/>
  <w:compat/>
  <w:rsids>
    <w:rsidRoot w:val="003818DC"/>
    <w:rsid w:val="003818DC"/>
    <w:rsid w:val="0039321B"/>
    <w:rsid w:val="00443588"/>
    <w:rsid w:val="004A399A"/>
    <w:rsid w:val="005D2C37"/>
    <w:rsid w:val="00670C01"/>
    <w:rsid w:val="006F3988"/>
    <w:rsid w:val="00A244ED"/>
    <w:rsid w:val="00C81AB1"/>
    <w:rsid w:val="00DD1AE8"/>
    <w:rsid w:val="00E165AC"/>
    <w:rsid w:val="00E5271B"/>
    <w:rsid w:val="00EE21A6"/>
    <w:rsid w:val="00EE2A37"/>
    <w:rsid w:val="00F92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AD4"/>
    <w:pPr>
      <w:spacing w:after="0" w:line="240" w:lineRule="auto"/>
    </w:pPr>
    <w:rPr>
      <w:rFonts w:ascii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StyleJ">
    <w:name w:val="MyStyleJ"/>
    <w:basedOn w:val="Normal"/>
    <w:qFormat/>
    <w:rsid w:val="0039321B"/>
    <w:pPr>
      <w:spacing w:before="120"/>
      <w:jc w:val="both"/>
    </w:pPr>
    <w:rPr>
      <w:szCs w:val="20"/>
    </w:rPr>
  </w:style>
  <w:style w:type="paragraph" w:customStyle="1" w:styleId="MyStyle2">
    <w:name w:val="MyStyle2"/>
    <w:basedOn w:val="Normal"/>
    <w:qFormat/>
    <w:rsid w:val="00EE2A37"/>
    <w:rPr>
      <w:b/>
    </w:rPr>
  </w:style>
  <w:style w:type="paragraph" w:customStyle="1" w:styleId="MyStyle3">
    <w:name w:val="MyStyle3"/>
    <w:basedOn w:val="MyStyleJ"/>
    <w:qFormat/>
    <w:rsid w:val="00EE2A37"/>
    <w:pPr>
      <w:spacing w:before="240"/>
    </w:pPr>
    <w:rPr>
      <w:b/>
      <w:i/>
    </w:rPr>
  </w:style>
  <w:style w:type="paragraph" w:customStyle="1" w:styleId="MyStyle1">
    <w:name w:val="MyStyle1"/>
    <w:basedOn w:val="Normal"/>
    <w:qFormat/>
    <w:rsid w:val="006F3988"/>
    <w:pPr>
      <w:spacing w:before="240" w:after="120"/>
    </w:pPr>
    <w:rPr>
      <w:b/>
      <w:caps/>
      <w:sz w:val="26"/>
    </w:rPr>
  </w:style>
  <w:style w:type="paragraph" w:customStyle="1" w:styleId="MtStyleBe">
    <w:name w:val="MtStyleBe"/>
    <w:basedOn w:val="MyStyleJ"/>
    <w:qFormat/>
    <w:rsid w:val="005D2C37"/>
    <w:pPr>
      <w:spacing w:before="240"/>
    </w:pPr>
  </w:style>
  <w:style w:type="paragraph" w:customStyle="1" w:styleId="myStyleJ0">
    <w:name w:val="myStyleJ"/>
    <w:basedOn w:val="Normal"/>
    <w:qFormat/>
    <w:rsid w:val="00F92AD4"/>
    <w:pPr>
      <w:spacing w:before="120"/>
      <w:jc w:val="both"/>
    </w:pPr>
    <w:rPr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21A6"/>
    <w:pPr>
      <w:keepLines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21A6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3818DC"/>
    <w:pPr>
      <w:spacing w:after="0" w:line="240" w:lineRule="auto"/>
    </w:pPr>
    <w:rPr>
      <w:rFonts w:ascii="Times New Roman" w:eastAsiaTheme="minorHAnsi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818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AD4"/>
    <w:pPr>
      <w:spacing w:after="0" w:line="240" w:lineRule="auto"/>
    </w:pPr>
    <w:rPr>
      <w:rFonts w:ascii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StyleJ">
    <w:name w:val="MyStyleJ"/>
    <w:basedOn w:val="Normal"/>
    <w:qFormat/>
    <w:rsid w:val="0039321B"/>
    <w:pPr>
      <w:spacing w:before="120"/>
      <w:jc w:val="both"/>
    </w:pPr>
    <w:rPr>
      <w:szCs w:val="20"/>
    </w:rPr>
  </w:style>
  <w:style w:type="paragraph" w:customStyle="1" w:styleId="MyStyle2">
    <w:name w:val="MyStyle2"/>
    <w:basedOn w:val="Normal"/>
    <w:qFormat/>
    <w:rsid w:val="00EE2A37"/>
    <w:rPr>
      <w:b/>
    </w:rPr>
  </w:style>
  <w:style w:type="paragraph" w:customStyle="1" w:styleId="MyStyle3">
    <w:name w:val="MyStyle3"/>
    <w:basedOn w:val="MyStyleJ"/>
    <w:qFormat/>
    <w:rsid w:val="00EE2A37"/>
    <w:pPr>
      <w:spacing w:before="240"/>
    </w:pPr>
    <w:rPr>
      <w:b/>
      <w:i/>
    </w:rPr>
  </w:style>
  <w:style w:type="paragraph" w:customStyle="1" w:styleId="MyStyle1">
    <w:name w:val="MyStyle1"/>
    <w:basedOn w:val="Normal"/>
    <w:qFormat/>
    <w:rsid w:val="006F3988"/>
    <w:pPr>
      <w:spacing w:before="240" w:after="120"/>
    </w:pPr>
    <w:rPr>
      <w:b/>
      <w:caps/>
      <w:sz w:val="26"/>
    </w:rPr>
  </w:style>
  <w:style w:type="paragraph" w:customStyle="1" w:styleId="MtStyleBe">
    <w:name w:val="MtStyleBe"/>
    <w:basedOn w:val="MyStyleJ"/>
    <w:qFormat/>
    <w:rsid w:val="005D2C37"/>
    <w:pPr>
      <w:spacing w:before="240"/>
    </w:pPr>
  </w:style>
  <w:style w:type="paragraph" w:customStyle="1" w:styleId="myStyleJ0">
    <w:name w:val="myStyleJ"/>
    <w:basedOn w:val="Normal"/>
    <w:qFormat/>
    <w:rsid w:val="00F92AD4"/>
    <w:pPr>
      <w:spacing w:before="120"/>
      <w:jc w:val="both"/>
    </w:pPr>
    <w:rPr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21A6"/>
    <w:pPr>
      <w:keepLines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21A6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3818DC"/>
    <w:pPr>
      <w:spacing w:after="0" w:line="240" w:lineRule="auto"/>
    </w:pPr>
    <w:rPr>
      <w:rFonts w:ascii="Times New Roman" w:eastAsiaTheme="minorHAnsi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818D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pi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 Minh Triec</dc:creator>
  <cp:lastModifiedBy>Administrator</cp:lastModifiedBy>
  <cp:revision>5</cp:revision>
  <cp:lastPrinted>2021-01-13T07:34:00Z</cp:lastPrinted>
  <dcterms:created xsi:type="dcterms:W3CDTF">2021-01-12T08:02:00Z</dcterms:created>
  <dcterms:modified xsi:type="dcterms:W3CDTF">2021-01-13T07:34:00Z</dcterms:modified>
</cp:coreProperties>
</file>